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82FF" w14:textId="7AA17AAC" w:rsidR="000A0E12" w:rsidRPr="000A0E12" w:rsidRDefault="000A0E12" w:rsidP="000A0E12">
      <w:pPr>
        <w:spacing w:before="240" w:after="240" w:line="240" w:lineRule="auto"/>
        <w:jc w:val="center"/>
        <w:rPr>
          <w:rFonts w:ascii="Marianne" w:hAnsi="Marianne" w:cs="Arial"/>
          <w:b/>
          <w:sz w:val="20"/>
          <w:szCs w:val="20"/>
        </w:rPr>
      </w:pPr>
      <w:bookmarkStart w:id="0" w:name="_GoBack"/>
      <w:bookmarkEnd w:id="0"/>
      <w:r w:rsidRPr="000A0E12">
        <w:rPr>
          <w:rFonts w:ascii="Marianne" w:hAnsi="Marianne" w:cs="Arial"/>
          <w:b/>
          <w:sz w:val="20"/>
          <w:szCs w:val="20"/>
        </w:rPr>
        <w:t>Pr</w:t>
      </w:r>
      <w:r>
        <w:rPr>
          <w:rFonts w:ascii="Marianne" w:hAnsi="Marianne" w:cs="Arial"/>
          <w:b/>
          <w:sz w:val="20"/>
          <w:szCs w:val="20"/>
        </w:rPr>
        <w:t>ésentation de l’arrêté ministériel de prescriptions générales applicables aux installations piscicoles d’eau douce relevant du régime de l’enregistrement ICPE</w:t>
      </w:r>
    </w:p>
    <w:p w14:paraId="14B09F9C" w14:textId="77777777" w:rsidR="00C33540" w:rsidRDefault="00C33540" w:rsidP="00056F46">
      <w:pPr>
        <w:spacing w:line="256" w:lineRule="auto"/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3D7EFE23" w14:textId="027D1C3A" w:rsidR="00C33540" w:rsidRPr="00C33540" w:rsidRDefault="00C33540" w:rsidP="00056F46">
      <w:pPr>
        <w:spacing w:line="256" w:lineRule="auto"/>
        <w:jc w:val="both"/>
        <w:rPr>
          <w:rFonts w:ascii="Marianne" w:hAnsi="Marianne" w:cs="Arial"/>
          <w:b/>
          <w:bCs/>
          <w:sz w:val="20"/>
          <w:szCs w:val="20"/>
        </w:rPr>
      </w:pPr>
      <w:r w:rsidRPr="00C33540">
        <w:rPr>
          <w:rFonts w:ascii="Marianne" w:hAnsi="Marianne" w:cs="Arial"/>
          <w:b/>
          <w:bCs/>
          <w:sz w:val="20"/>
          <w:szCs w:val="20"/>
        </w:rPr>
        <w:t>Contexte</w:t>
      </w:r>
      <w:r>
        <w:rPr>
          <w:rFonts w:ascii="Marianne" w:hAnsi="Marianne" w:cs="Arial"/>
          <w:b/>
          <w:bCs/>
          <w:sz w:val="20"/>
          <w:szCs w:val="20"/>
        </w:rPr>
        <w:t xml:space="preserve"> </w:t>
      </w:r>
    </w:p>
    <w:p w14:paraId="2D599246" w14:textId="5079CA49" w:rsidR="00056F46" w:rsidRDefault="00056F46" w:rsidP="00056F46">
      <w:pPr>
        <w:spacing w:line="256" w:lineRule="auto"/>
        <w:jc w:val="both"/>
        <w:rPr>
          <w:rFonts w:ascii="Marianne" w:hAnsi="Marianne" w:cs="Arial"/>
          <w:sz w:val="20"/>
          <w:szCs w:val="20"/>
        </w:rPr>
      </w:pPr>
      <w:r w:rsidRPr="000A0E12">
        <w:rPr>
          <w:rFonts w:ascii="Marianne" w:hAnsi="Marianne" w:cs="Arial"/>
          <w:sz w:val="20"/>
          <w:szCs w:val="20"/>
        </w:rPr>
        <w:t>L’introduction d’un régime d’enregistrement pour les piscicultures d’eau douce (rubrique</w:t>
      </w:r>
      <w:r w:rsidR="00E664ED">
        <w:rPr>
          <w:rFonts w:ascii="Marianne" w:hAnsi="Marianne" w:cs="Arial"/>
          <w:sz w:val="20"/>
          <w:szCs w:val="20"/>
        </w:rPr>
        <w:t> </w:t>
      </w:r>
      <w:r w:rsidRPr="000A0E12">
        <w:rPr>
          <w:rFonts w:ascii="Marianne" w:hAnsi="Marianne" w:cs="Arial"/>
          <w:sz w:val="20"/>
          <w:szCs w:val="20"/>
        </w:rPr>
        <w:t xml:space="preserve">2730-1 de la nomenclature des installations classées pour la protection de l’environnement (ICPE)), décidée de longue </w:t>
      </w:r>
      <w:r w:rsidR="0031321A" w:rsidRPr="000A0E12">
        <w:rPr>
          <w:rFonts w:ascii="Marianne" w:hAnsi="Marianne" w:cs="Arial"/>
          <w:sz w:val="20"/>
          <w:szCs w:val="20"/>
        </w:rPr>
        <w:t xml:space="preserve">date </w:t>
      </w:r>
      <w:r w:rsidRPr="000A0E12">
        <w:rPr>
          <w:rFonts w:ascii="Marianne" w:hAnsi="Marianne" w:cs="Arial"/>
          <w:sz w:val="20"/>
          <w:szCs w:val="20"/>
        </w:rPr>
        <w:t>par les Gouvernements successifs, vise à simplifier l’encadrement réglementaire des installations dont la capacité de production est supérieure à 20 tonnes par an et inférieure ou égale à 100 tonnes par an (ce dernier seuil étant en discussion entre MASA et MTECT). L’établissement d’un régime d’enregistrement nécessite la création, par décret en Conseil d’État, d’une nouvelle sous-rubrique de la nomenclature des ICPE à laquelle est associé un arrêté ministériel de prescriptions générales (AMPG). Les prescriptions applicables aux installations doivent être en conformité avec le principe légal de non-régression de la protection de l’environnement</w:t>
      </w:r>
      <w:r w:rsidR="000A1F8A">
        <w:rPr>
          <w:rFonts w:ascii="Marianne" w:hAnsi="Marianne" w:cs="Arial"/>
          <w:sz w:val="20"/>
          <w:szCs w:val="20"/>
        </w:rPr>
        <w:t xml:space="preserve">, et permettre la prévention « clé en main » </w:t>
      </w:r>
      <w:r w:rsidR="000E69C5">
        <w:rPr>
          <w:rFonts w:ascii="Marianne" w:hAnsi="Marianne" w:cs="Arial"/>
          <w:sz w:val="20"/>
          <w:szCs w:val="20"/>
        </w:rPr>
        <w:t xml:space="preserve">des risques liés à </w:t>
      </w:r>
      <w:r w:rsidR="000A1F8A">
        <w:rPr>
          <w:rFonts w:ascii="Marianne" w:hAnsi="Marianne" w:cs="Arial"/>
          <w:sz w:val="20"/>
          <w:szCs w:val="20"/>
        </w:rPr>
        <w:t>une installation type</w:t>
      </w:r>
      <w:r w:rsidRPr="000A0E12">
        <w:rPr>
          <w:rFonts w:ascii="Marianne" w:hAnsi="Marianne" w:cs="Arial"/>
          <w:sz w:val="20"/>
          <w:szCs w:val="20"/>
        </w:rPr>
        <w:t>.</w:t>
      </w:r>
      <w:r w:rsidR="00C060AD">
        <w:rPr>
          <w:rFonts w:ascii="Marianne" w:hAnsi="Marianne" w:cs="Arial"/>
          <w:sz w:val="20"/>
          <w:szCs w:val="20"/>
        </w:rPr>
        <w:t xml:space="preserve"> </w:t>
      </w:r>
    </w:p>
    <w:p w14:paraId="2248B41F" w14:textId="6B5240F6" w:rsidR="00672C40" w:rsidRDefault="00672C40" w:rsidP="00056F46">
      <w:pPr>
        <w:spacing w:line="256" w:lineRule="auto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La volonté d’alléger l’encadrement règlementaire des piscicultures a été réaffirmé</w:t>
      </w:r>
      <w:r w:rsidR="00E36B54">
        <w:rPr>
          <w:rFonts w:ascii="Marianne" w:hAnsi="Marianne" w:cs="Arial"/>
          <w:sz w:val="20"/>
          <w:szCs w:val="20"/>
        </w:rPr>
        <w:t>e</w:t>
      </w:r>
      <w:r>
        <w:rPr>
          <w:rFonts w:ascii="Marianne" w:hAnsi="Marianne" w:cs="Arial"/>
          <w:sz w:val="20"/>
          <w:szCs w:val="20"/>
        </w:rPr>
        <w:t xml:space="preserve"> dans l’article</w:t>
      </w:r>
      <w:r w:rsidR="00E664ED">
        <w:rPr>
          <w:rFonts w:ascii="Marianne" w:hAnsi="Marianne" w:cs="Arial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17 </w:t>
      </w:r>
      <w:r w:rsidRPr="00672C40">
        <w:rPr>
          <w:rFonts w:ascii="Marianne" w:hAnsi="Marianne" w:cs="Arial"/>
          <w:sz w:val="20"/>
          <w:szCs w:val="20"/>
        </w:rPr>
        <w:t>du projet de</w:t>
      </w:r>
      <w:r>
        <w:rPr>
          <w:rFonts w:ascii="Marianne" w:hAnsi="Marianne" w:cs="Arial"/>
          <w:sz w:val="20"/>
          <w:szCs w:val="20"/>
        </w:rPr>
        <w:t xml:space="preserve"> loi </w:t>
      </w:r>
      <w:r w:rsidRPr="00672C40">
        <w:rPr>
          <w:rFonts w:ascii="Marianne" w:hAnsi="Marianne" w:cs="Arial"/>
          <w:sz w:val="20"/>
          <w:szCs w:val="20"/>
        </w:rPr>
        <w:t>d'orientation pour la souveraineté en matière agricole et le renouvellement des générations en agricultur</w:t>
      </w:r>
      <w:r w:rsidR="00E664ED">
        <w:rPr>
          <w:rFonts w:ascii="Marianne" w:hAnsi="Marianne" w:cs="Arial"/>
          <w:sz w:val="20"/>
          <w:szCs w:val="20"/>
        </w:rPr>
        <w:t>e, dont l’examen a été suspendu en juin dernier</w:t>
      </w:r>
      <w:r>
        <w:rPr>
          <w:rFonts w:ascii="Marianne" w:hAnsi="Marianne" w:cs="Arial"/>
          <w:sz w:val="20"/>
          <w:szCs w:val="20"/>
        </w:rPr>
        <w:t>.</w:t>
      </w:r>
      <w:r w:rsidRPr="00672C40">
        <w:rPr>
          <w:rFonts w:ascii="Marianne" w:hAnsi="Marianne" w:cs="Arial"/>
          <w:sz w:val="20"/>
          <w:szCs w:val="20"/>
        </w:rPr>
        <w:t xml:space="preserve"> </w:t>
      </w:r>
    </w:p>
    <w:p w14:paraId="2338747D" w14:textId="3C4F5827" w:rsidR="00DA14AE" w:rsidRDefault="00C060AD">
      <w:pPr>
        <w:jc w:val="both"/>
        <w:rPr>
          <w:rFonts w:ascii="Marianne" w:hAnsi="Marianne" w:cs="Arial"/>
          <w:sz w:val="20"/>
          <w:szCs w:val="20"/>
        </w:rPr>
      </w:pPr>
      <w:r w:rsidRPr="00672C40">
        <w:rPr>
          <w:rFonts w:ascii="Marianne" w:hAnsi="Marianne" w:cs="Arial"/>
          <w:b/>
          <w:bCs/>
          <w:sz w:val="20"/>
          <w:szCs w:val="20"/>
        </w:rPr>
        <w:t>Structure du texte</w:t>
      </w:r>
    </w:p>
    <w:p w14:paraId="5356401D" w14:textId="4D931387" w:rsidR="00E7467C" w:rsidRDefault="00672C40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Le texte présenté au CNE</w:t>
      </w:r>
      <w:r w:rsidR="00E7467C">
        <w:rPr>
          <w:rFonts w:ascii="Marianne" w:hAnsi="Marianne" w:cs="Arial"/>
          <w:sz w:val="20"/>
          <w:szCs w:val="20"/>
        </w:rPr>
        <w:t xml:space="preserve"> comporte 26 articles et</w:t>
      </w:r>
      <w:r>
        <w:rPr>
          <w:rFonts w:ascii="Marianne" w:hAnsi="Marianne" w:cs="Arial"/>
          <w:sz w:val="20"/>
          <w:szCs w:val="20"/>
        </w:rPr>
        <w:t xml:space="preserve"> reprend l</w:t>
      </w:r>
      <w:r w:rsidR="00E664ED">
        <w:rPr>
          <w:rFonts w:ascii="Marianne" w:hAnsi="Marianne" w:cs="Arial"/>
          <w:sz w:val="20"/>
          <w:szCs w:val="20"/>
        </w:rPr>
        <w:t xml:space="preserve">a structure et les </w:t>
      </w:r>
      <w:r w:rsidR="00BF13B0">
        <w:rPr>
          <w:rFonts w:ascii="Marianne" w:hAnsi="Marianne" w:cs="Arial"/>
          <w:sz w:val="20"/>
          <w:szCs w:val="20"/>
        </w:rPr>
        <w:t xml:space="preserve">prescriptions </w:t>
      </w:r>
      <w:r w:rsidR="00E664ED">
        <w:rPr>
          <w:rFonts w:ascii="Marianne" w:hAnsi="Marianne" w:cs="Arial"/>
          <w:sz w:val="20"/>
          <w:szCs w:val="20"/>
        </w:rPr>
        <w:t>de l’AMPG encadrant les piscicultures soumises à autorisation ICPE</w:t>
      </w:r>
      <w:r w:rsidR="00E36B54">
        <w:rPr>
          <w:rFonts w:ascii="Marianne" w:hAnsi="Marianne" w:cs="Arial"/>
          <w:sz w:val="20"/>
          <w:szCs w:val="20"/>
        </w:rPr>
        <w:t xml:space="preserve"> datant de 2008</w:t>
      </w:r>
      <w:r w:rsidR="00E664ED">
        <w:rPr>
          <w:rFonts w:ascii="Marianne" w:hAnsi="Marianne" w:cs="Arial"/>
          <w:sz w:val="20"/>
          <w:szCs w:val="20"/>
        </w:rPr>
        <w:t xml:space="preserve">, qui est identique à l’APG encadrant les </w:t>
      </w:r>
      <w:r w:rsidR="000A1F8A">
        <w:rPr>
          <w:rFonts w:ascii="Marianne" w:hAnsi="Marianne" w:cs="Arial"/>
          <w:sz w:val="20"/>
          <w:szCs w:val="20"/>
        </w:rPr>
        <w:t>piscicultures</w:t>
      </w:r>
      <w:r w:rsidR="00E664ED">
        <w:rPr>
          <w:rFonts w:ascii="Marianne" w:hAnsi="Marianne" w:cs="Arial"/>
          <w:sz w:val="20"/>
          <w:szCs w:val="20"/>
        </w:rPr>
        <w:t xml:space="preserve"> soumises à déclaration IOTA. </w:t>
      </w:r>
    </w:p>
    <w:p w14:paraId="483C12A0" w14:textId="0C410108" w:rsidR="00D27B91" w:rsidRDefault="00D27B91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L’arrêté comporte trois articles </w:t>
      </w:r>
      <w:r w:rsidR="00BF13B0">
        <w:rPr>
          <w:rFonts w:ascii="Marianne" w:hAnsi="Marianne" w:cs="Arial"/>
          <w:sz w:val="20"/>
          <w:szCs w:val="20"/>
        </w:rPr>
        <w:t>sur le champ d’application et les</w:t>
      </w:r>
      <w:r>
        <w:rPr>
          <w:rFonts w:ascii="Marianne" w:hAnsi="Marianne" w:cs="Arial"/>
          <w:sz w:val="20"/>
          <w:szCs w:val="20"/>
        </w:rPr>
        <w:t xml:space="preserve"> définition</w:t>
      </w:r>
      <w:r w:rsidR="00BF13B0">
        <w:rPr>
          <w:rFonts w:ascii="Marianne" w:hAnsi="Marianne" w:cs="Arial"/>
          <w:sz w:val="20"/>
          <w:szCs w:val="20"/>
        </w:rPr>
        <w:t>s</w:t>
      </w:r>
      <w:r>
        <w:rPr>
          <w:rFonts w:ascii="Marianne" w:hAnsi="Marianne" w:cs="Arial"/>
          <w:sz w:val="20"/>
          <w:szCs w:val="20"/>
        </w:rPr>
        <w:t xml:space="preserve"> et </w:t>
      </w:r>
      <w:r w:rsidR="00734EFD">
        <w:rPr>
          <w:rFonts w:ascii="Marianne" w:hAnsi="Marianne" w:cs="Arial"/>
          <w:sz w:val="20"/>
          <w:szCs w:val="20"/>
        </w:rPr>
        <w:t>cinq</w:t>
      </w:r>
      <w:r>
        <w:rPr>
          <w:rFonts w:ascii="Marianne" w:hAnsi="Marianne" w:cs="Arial"/>
          <w:sz w:val="20"/>
          <w:szCs w:val="20"/>
        </w:rPr>
        <w:t xml:space="preserve"> chapitres techniques</w:t>
      </w:r>
      <w:r w:rsidR="00734EFD">
        <w:rPr>
          <w:rFonts w:ascii="Marianne" w:hAnsi="Marianne" w:cs="Arial"/>
          <w:sz w:val="20"/>
          <w:szCs w:val="20"/>
        </w:rPr>
        <w:t xml:space="preserve">. Le premier chapitre porte sur </w:t>
      </w:r>
      <w:r>
        <w:rPr>
          <w:rFonts w:ascii="Marianne" w:hAnsi="Marianne" w:cs="Arial"/>
          <w:sz w:val="20"/>
          <w:szCs w:val="20"/>
        </w:rPr>
        <w:t xml:space="preserve">les prescriptions de localisation </w:t>
      </w:r>
      <w:r w:rsidR="00734EFD">
        <w:rPr>
          <w:rFonts w:ascii="Marianne" w:hAnsi="Marianne" w:cs="Arial"/>
          <w:sz w:val="20"/>
          <w:szCs w:val="20"/>
        </w:rPr>
        <w:t xml:space="preserve">et comprend </w:t>
      </w:r>
      <w:r>
        <w:rPr>
          <w:rFonts w:ascii="Marianne" w:hAnsi="Marianne" w:cs="Arial"/>
          <w:sz w:val="20"/>
          <w:szCs w:val="20"/>
        </w:rPr>
        <w:t>l</w:t>
      </w:r>
      <w:r w:rsidR="00734EFD">
        <w:rPr>
          <w:rFonts w:ascii="Marianne" w:hAnsi="Marianne" w:cs="Arial"/>
          <w:sz w:val="20"/>
          <w:szCs w:val="20"/>
        </w:rPr>
        <w:t xml:space="preserve">es </w:t>
      </w:r>
      <w:r>
        <w:rPr>
          <w:rFonts w:ascii="Marianne" w:hAnsi="Marianne" w:cs="Arial"/>
          <w:sz w:val="20"/>
          <w:szCs w:val="20"/>
        </w:rPr>
        <w:t>article</w:t>
      </w:r>
      <w:r w:rsidR="00734EFD">
        <w:rPr>
          <w:rFonts w:ascii="Marianne" w:hAnsi="Marianne" w:cs="Arial"/>
          <w:sz w:val="20"/>
          <w:szCs w:val="20"/>
        </w:rPr>
        <w:t>s</w:t>
      </w:r>
      <w:r>
        <w:rPr>
          <w:rFonts w:ascii="Marianne" w:hAnsi="Marianne" w:cs="Arial"/>
          <w:sz w:val="20"/>
          <w:szCs w:val="20"/>
        </w:rPr>
        <w:t xml:space="preserve"> 4 </w:t>
      </w:r>
      <w:r w:rsidR="00734EFD">
        <w:rPr>
          <w:rFonts w:ascii="Marianne" w:hAnsi="Marianne" w:cs="Arial"/>
          <w:sz w:val="20"/>
          <w:szCs w:val="20"/>
        </w:rPr>
        <w:t>et</w:t>
      </w:r>
      <w:r>
        <w:rPr>
          <w:rFonts w:ascii="Marianne" w:hAnsi="Marianne" w:cs="Arial"/>
          <w:sz w:val="20"/>
          <w:szCs w:val="20"/>
        </w:rPr>
        <w:t xml:space="preserve"> 5</w:t>
      </w:r>
      <w:r w:rsidR="00734EFD">
        <w:rPr>
          <w:rFonts w:ascii="Marianne" w:hAnsi="Marianne" w:cs="Arial"/>
          <w:sz w:val="20"/>
          <w:szCs w:val="20"/>
        </w:rPr>
        <w:t>.</w:t>
      </w:r>
      <w:r>
        <w:rPr>
          <w:rFonts w:ascii="Marianne" w:hAnsi="Marianne" w:cs="Arial"/>
          <w:sz w:val="20"/>
          <w:szCs w:val="20"/>
        </w:rPr>
        <w:t xml:space="preserve"> </w:t>
      </w:r>
      <w:r w:rsidR="00734EFD">
        <w:rPr>
          <w:rFonts w:ascii="Marianne" w:hAnsi="Marianne" w:cs="Arial"/>
          <w:sz w:val="20"/>
          <w:szCs w:val="20"/>
        </w:rPr>
        <w:t xml:space="preserve">Le deuxième décrit </w:t>
      </w:r>
      <w:r>
        <w:rPr>
          <w:rFonts w:ascii="Marianne" w:hAnsi="Marianne" w:cs="Arial"/>
          <w:sz w:val="20"/>
          <w:szCs w:val="20"/>
        </w:rPr>
        <w:t xml:space="preserve">les règles d’aménagement </w:t>
      </w:r>
      <w:r w:rsidR="00734EFD">
        <w:rPr>
          <w:rFonts w:ascii="Marianne" w:hAnsi="Marianne" w:cs="Arial"/>
          <w:sz w:val="20"/>
          <w:szCs w:val="20"/>
        </w:rPr>
        <w:t xml:space="preserve">et va </w:t>
      </w:r>
      <w:r>
        <w:rPr>
          <w:rFonts w:ascii="Marianne" w:hAnsi="Marianne" w:cs="Arial"/>
          <w:sz w:val="20"/>
          <w:szCs w:val="20"/>
        </w:rPr>
        <w:t>de l’article 6 à 12</w:t>
      </w:r>
      <w:r w:rsidR="00734EFD">
        <w:rPr>
          <w:rFonts w:ascii="Marianne" w:hAnsi="Marianne" w:cs="Arial"/>
          <w:sz w:val="20"/>
          <w:szCs w:val="20"/>
        </w:rPr>
        <w:t>.</w:t>
      </w:r>
      <w:r>
        <w:rPr>
          <w:rFonts w:ascii="Marianne" w:hAnsi="Marianne" w:cs="Arial"/>
          <w:sz w:val="20"/>
          <w:szCs w:val="20"/>
        </w:rPr>
        <w:t xml:space="preserve"> </w:t>
      </w:r>
      <w:r w:rsidR="00734EFD">
        <w:rPr>
          <w:rFonts w:ascii="Marianne" w:hAnsi="Marianne" w:cs="Arial"/>
          <w:sz w:val="20"/>
          <w:szCs w:val="20"/>
        </w:rPr>
        <w:t>L</w:t>
      </w:r>
      <w:r>
        <w:rPr>
          <w:rFonts w:ascii="Marianne" w:hAnsi="Marianne" w:cs="Arial"/>
          <w:sz w:val="20"/>
          <w:szCs w:val="20"/>
        </w:rPr>
        <w:t>e</w:t>
      </w:r>
      <w:r w:rsidR="00734EFD">
        <w:rPr>
          <w:rFonts w:ascii="Marianne" w:hAnsi="Marianne" w:cs="Arial"/>
          <w:sz w:val="20"/>
          <w:szCs w:val="20"/>
        </w:rPr>
        <w:t xml:space="preserve"> troisième chapitre prescrit les règles d’exploitation aux articles 13 à 20. Le quatrième liste les prescriptions liées à l’autosurveillance, des articles 21 à 24, et le cinquième, qui n’est composé que de l’article 25, décrit les conditions de remise en état du site</w:t>
      </w:r>
      <w:r w:rsidR="00E36B54">
        <w:rPr>
          <w:rFonts w:ascii="Marianne" w:hAnsi="Marianne" w:cs="Arial"/>
          <w:sz w:val="20"/>
          <w:szCs w:val="20"/>
        </w:rPr>
        <w:t xml:space="preserve"> lors d</w:t>
      </w:r>
      <w:r w:rsidR="00BF13B0">
        <w:rPr>
          <w:rFonts w:ascii="Marianne" w:hAnsi="Marianne" w:cs="Arial"/>
          <w:sz w:val="20"/>
          <w:szCs w:val="20"/>
        </w:rPr>
        <w:t>e la</w:t>
      </w:r>
      <w:r w:rsidR="00E36B54">
        <w:rPr>
          <w:rFonts w:ascii="Marianne" w:hAnsi="Marianne" w:cs="Arial"/>
          <w:sz w:val="20"/>
          <w:szCs w:val="20"/>
        </w:rPr>
        <w:t xml:space="preserve"> cessation d’activité</w:t>
      </w:r>
      <w:r w:rsidR="00734EFD">
        <w:rPr>
          <w:rFonts w:ascii="Marianne" w:hAnsi="Marianne" w:cs="Arial"/>
          <w:sz w:val="20"/>
          <w:szCs w:val="20"/>
        </w:rPr>
        <w:t>.</w:t>
      </w:r>
      <w:r w:rsidR="00B013F2">
        <w:rPr>
          <w:rFonts w:ascii="Marianne" w:hAnsi="Marianne" w:cs="Arial"/>
          <w:sz w:val="20"/>
          <w:szCs w:val="20"/>
        </w:rPr>
        <w:t xml:space="preserve"> Enfin, le projet de texte comprend en annexe le calendrier d’application des différentes prescriptions.</w:t>
      </w:r>
    </w:p>
    <w:p w14:paraId="43BE79AA" w14:textId="579B39B6" w:rsidR="00E7467C" w:rsidRDefault="00E7467C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Les articles afférents</w:t>
      </w:r>
      <w:r w:rsidR="00734EFD">
        <w:rPr>
          <w:rFonts w:ascii="Marianne" w:hAnsi="Marianne" w:cs="Arial"/>
          <w:sz w:val="20"/>
          <w:szCs w:val="20"/>
        </w:rPr>
        <w:t xml:space="preserve"> spécifiquement</w:t>
      </w:r>
      <w:r>
        <w:rPr>
          <w:rFonts w:ascii="Marianne" w:hAnsi="Marianne" w:cs="Arial"/>
          <w:sz w:val="20"/>
          <w:szCs w:val="20"/>
        </w:rPr>
        <w:t xml:space="preserve"> à la protection de l’eau </w:t>
      </w:r>
      <w:r w:rsidR="00D27B91">
        <w:rPr>
          <w:rFonts w:ascii="Marianne" w:hAnsi="Marianne" w:cs="Arial"/>
          <w:sz w:val="20"/>
          <w:szCs w:val="20"/>
        </w:rPr>
        <w:t>sont les articles 7,</w:t>
      </w:r>
      <w:r w:rsidR="00E36B54">
        <w:rPr>
          <w:rFonts w:ascii="Marianne" w:hAnsi="Marianne" w:cs="Arial"/>
          <w:sz w:val="20"/>
          <w:szCs w:val="20"/>
        </w:rPr>
        <w:t xml:space="preserve"> </w:t>
      </w:r>
      <w:r w:rsidR="00D27B91">
        <w:rPr>
          <w:rFonts w:ascii="Marianne" w:hAnsi="Marianne" w:cs="Arial"/>
          <w:sz w:val="20"/>
          <w:szCs w:val="20"/>
        </w:rPr>
        <w:t>8,</w:t>
      </w:r>
      <w:r w:rsidR="00E36B54">
        <w:rPr>
          <w:rFonts w:ascii="Marianne" w:hAnsi="Marianne" w:cs="Arial"/>
          <w:sz w:val="20"/>
          <w:szCs w:val="20"/>
        </w:rPr>
        <w:t xml:space="preserve"> </w:t>
      </w:r>
      <w:r w:rsidR="00D27B91">
        <w:rPr>
          <w:rFonts w:ascii="Marianne" w:hAnsi="Marianne" w:cs="Arial"/>
          <w:sz w:val="20"/>
          <w:szCs w:val="20"/>
        </w:rPr>
        <w:t>14</w:t>
      </w:r>
      <w:r w:rsidR="00734EFD">
        <w:rPr>
          <w:rFonts w:ascii="Marianne" w:hAnsi="Marianne" w:cs="Arial"/>
          <w:sz w:val="20"/>
          <w:szCs w:val="20"/>
        </w:rPr>
        <w:t>,</w:t>
      </w:r>
      <w:r w:rsidR="00D27B91">
        <w:rPr>
          <w:rFonts w:ascii="Marianne" w:hAnsi="Marianne" w:cs="Arial"/>
          <w:sz w:val="20"/>
          <w:szCs w:val="20"/>
        </w:rPr>
        <w:t xml:space="preserve"> 15</w:t>
      </w:r>
      <w:r w:rsidR="00BF13B0">
        <w:rPr>
          <w:rFonts w:ascii="Marianne" w:hAnsi="Marianne" w:cs="Arial"/>
          <w:sz w:val="20"/>
          <w:szCs w:val="20"/>
        </w:rPr>
        <w:t xml:space="preserve">, 21, 23 </w:t>
      </w:r>
      <w:r w:rsidR="00734EFD">
        <w:rPr>
          <w:rFonts w:ascii="Marianne" w:hAnsi="Marianne" w:cs="Arial"/>
          <w:sz w:val="20"/>
          <w:szCs w:val="20"/>
        </w:rPr>
        <w:t>et 24</w:t>
      </w:r>
      <w:r w:rsidR="00D27B91">
        <w:rPr>
          <w:rFonts w:ascii="Marianne" w:hAnsi="Marianne" w:cs="Arial"/>
          <w:sz w:val="20"/>
          <w:szCs w:val="20"/>
        </w:rPr>
        <w:t xml:space="preserve">. </w:t>
      </w:r>
      <w:r w:rsidR="00734EFD">
        <w:rPr>
          <w:rFonts w:ascii="Marianne" w:hAnsi="Marianne" w:cs="Arial"/>
          <w:sz w:val="20"/>
          <w:szCs w:val="20"/>
        </w:rPr>
        <w:t>Dans le chapitre « </w:t>
      </w:r>
      <w:r w:rsidR="00BF13B0">
        <w:rPr>
          <w:rFonts w:ascii="Marianne" w:hAnsi="Marianne" w:cs="Arial"/>
          <w:sz w:val="20"/>
          <w:szCs w:val="20"/>
        </w:rPr>
        <w:t>R</w:t>
      </w:r>
      <w:r w:rsidR="00734EFD">
        <w:rPr>
          <w:rFonts w:ascii="Marianne" w:hAnsi="Marianne" w:cs="Arial"/>
          <w:sz w:val="20"/>
          <w:szCs w:val="20"/>
        </w:rPr>
        <w:t>ègles d’aménagement », l’article 7 porte sur la continuité écologique et le maintien du débit réservé, et l’article 8 sur les prélèvements. Dans le chapitre « </w:t>
      </w:r>
      <w:r w:rsidR="00BF13B0">
        <w:rPr>
          <w:rFonts w:ascii="Marianne" w:hAnsi="Marianne" w:cs="Arial"/>
          <w:sz w:val="20"/>
          <w:szCs w:val="20"/>
        </w:rPr>
        <w:t>R</w:t>
      </w:r>
      <w:r w:rsidR="00734EFD">
        <w:rPr>
          <w:rFonts w:ascii="Marianne" w:hAnsi="Marianne" w:cs="Arial"/>
          <w:sz w:val="20"/>
          <w:szCs w:val="20"/>
        </w:rPr>
        <w:t>ègles d’exploitation », les articles 14 et 15 encadrent les rejets des installations. Enfin, dans le chapitre « </w:t>
      </w:r>
      <w:r w:rsidR="00BF13B0">
        <w:rPr>
          <w:rFonts w:ascii="Marianne" w:hAnsi="Marianne" w:cs="Arial"/>
          <w:sz w:val="20"/>
          <w:szCs w:val="20"/>
        </w:rPr>
        <w:t>A</w:t>
      </w:r>
      <w:r w:rsidR="00734EFD">
        <w:rPr>
          <w:rFonts w:ascii="Marianne" w:hAnsi="Marianne" w:cs="Arial"/>
          <w:sz w:val="20"/>
          <w:szCs w:val="20"/>
        </w:rPr>
        <w:t>utosurveillance », les articles 21, 23 et 24 reprennent les conditions de surveillance des débits, consommations et rejets.</w:t>
      </w:r>
    </w:p>
    <w:p w14:paraId="134DBC00" w14:textId="7901E4D6" w:rsidR="00FB5AB1" w:rsidRPr="000A0E12" w:rsidRDefault="00DE7CB3">
      <w:pPr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>
        <w:rPr>
          <w:rFonts w:ascii="Marianne" w:eastAsia="Times New Roman" w:hAnsi="Marianne" w:cs="Arial"/>
          <w:bCs/>
          <w:sz w:val="20"/>
          <w:szCs w:val="20"/>
          <w:lang w:eastAsia="fr-FR"/>
        </w:rPr>
        <w:t>Parmi c</w:t>
      </w:r>
      <w:r w:rsidR="00734EFD">
        <w:rPr>
          <w:rFonts w:ascii="Marianne" w:eastAsia="Times New Roman" w:hAnsi="Marianne" w:cs="Arial"/>
          <w:bCs/>
          <w:sz w:val="20"/>
          <w:szCs w:val="20"/>
          <w:lang w:eastAsia="fr-FR"/>
        </w:rPr>
        <w:t>es différents articles</w:t>
      </w:r>
      <w:r>
        <w:rPr>
          <w:rFonts w:ascii="Marianne" w:eastAsia="Times New Roman" w:hAnsi="Marianne" w:cs="Arial"/>
          <w:bCs/>
          <w:sz w:val="20"/>
          <w:szCs w:val="20"/>
          <w:lang w:eastAsia="fr-FR"/>
        </w:rPr>
        <w:t xml:space="preserve">, seul l’article 15 a été significativement modifié. Cet article prévoyait, dans la version de </w:t>
      </w:r>
      <w:r w:rsidR="00E36B54">
        <w:rPr>
          <w:rFonts w:ascii="Marianne" w:eastAsia="Times New Roman" w:hAnsi="Marianne" w:cs="Arial"/>
          <w:bCs/>
          <w:sz w:val="20"/>
          <w:szCs w:val="20"/>
          <w:lang w:eastAsia="fr-FR"/>
        </w:rPr>
        <w:t>l’</w:t>
      </w:r>
      <w:r w:rsidR="00BF13B0">
        <w:rPr>
          <w:rFonts w:ascii="Marianne" w:eastAsia="Times New Roman" w:hAnsi="Marianne" w:cs="Arial"/>
          <w:bCs/>
          <w:sz w:val="20"/>
          <w:szCs w:val="20"/>
          <w:lang w:eastAsia="fr-FR"/>
        </w:rPr>
        <w:t>AMPG</w:t>
      </w:r>
      <w:r w:rsidR="00E36B54">
        <w:rPr>
          <w:rFonts w:ascii="Marianne" w:eastAsia="Times New Roman" w:hAnsi="Marianne" w:cs="Arial"/>
          <w:bCs/>
          <w:sz w:val="20"/>
          <w:szCs w:val="20"/>
          <w:lang w:eastAsia="fr-FR"/>
        </w:rPr>
        <w:t xml:space="preserve"> « autorisation » de </w:t>
      </w:r>
      <w:r>
        <w:rPr>
          <w:rFonts w:ascii="Marianne" w:eastAsia="Times New Roman" w:hAnsi="Marianne" w:cs="Arial"/>
          <w:bCs/>
          <w:sz w:val="20"/>
          <w:szCs w:val="20"/>
          <w:lang w:eastAsia="fr-FR"/>
        </w:rPr>
        <w:t xml:space="preserve">2008, le respect de valeurs limites d’émission fixes entre l’amont et l’aval de la pisciculture. Afin d’assurer la non-dégradation des masses d’eau, il est désormais prévu que le porteur de projet s’engage à des valeurs limites </w:t>
      </w:r>
      <w:r>
        <w:rPr>
          <w:rFonts w:ascii="Marianne" w:eastAsia="Times New Roman" w:hAnsi="Marianne" w:cs="Arial"/>
          <w:bCs/>
          <w:sz w:val="20"/>
          <w:szCs w:val="20"/>
          <w:lang w:eastAsia="fr-FR"/>
        </w:rPr>
        <w:lastRenderedPageBreak/>
        <w:t>adaptées au moment du dépôt de dossier</w:t>
      </w:r>
      <w:r w:rsidR="00637C13">
        <w:rPr>
          <w:rFonts w:ascii="Marianne" w:eastAsia="Times New Roman" w:hAnsi="Marianne" w:cs="Arial"/>
          <w:bCs/>
          <w:sz w:val="20"/>
          <w:szCs w:val="20"/>
          <w:lang w:eastAsia="fr-FR"/>
        </w:rPr>
        <w:t xml:space="preserve">. Le texte </w:t>
      </w:r>
      <w:r>
        <w:rPr>
          <w:rFonts w:ascii="Marianne" w:eastAsia="Times New Roman" w:hAnsi="Marianne" w:cs="Arial"/>
          <w:bCs/>
          <w:sz w:val="20"/>
          <w:szCs w:val="20"/>
          <w:lang w:eastAsia="fr-FR"/>
        </w:rPr>
        <w:t>conserv</w:t>
      </w:r>
      <w:r w:rsidR="00637C13">
        <w:rPr>
          <w:rFonts w:ascii="Marianne" w:eastAsia="Times New Roman" w:hAnsi="Marianne" w:cs="Arial"/>
          <w:bCs/>
          <w:sz w:val="20"/>
          <w:szCs w:val="20"/>
          <w:lang w:eastAsia="fr-FR"/>
        </w:rPr>
        <w:t>e toutefois</w:t>
      </w:r>
      <w:r>
        <w:rPr>
          <w:rFonts w:ascii="Marianne" w:eastAsia="Times New Roman" w:hAnsi="Marianne" w:cs="Arial"/>
          <w:bCs/>
          <w:sz w:val="20"/>
          <w:szCs w:val="20"/>
          <w:lang w:eastAsia="fr-FR"/>
        </w:rPr>
        <w:t xml:space="preserve"> des valeurs limites maximales</w:t>
      </w:r>
      <w:r w:rsidR="00345B58">
        <w:rPr>
          <w:rFonts w:ascii="Marianne" w:eastAsia="Times New Roman" w:hAnsi="Marianne" w:cs="Arial"/>
          <w:bCs/>
          <w:sz w:val="20"/>
          <w:szCs w:val="20"/>
          <w:lang w:eastAsia="fr-FR"/>
        </w:rPr>
        <w:t>, reprises de 2008</w:t>
      </w:r>
      <w:r>
        <w:rPr>
          <w:rFonts w:ascii="Marianne" w:eastAsia="Times New Roman" w:hAnsi="Marianne" w:cs="Arial"/>
          <w:bCs/>
          <w:sz w:val="20"/>
          <w:szCs w:val="20"/>
          <w:lang w:eastAsia="fr-FR"/>
        </w:rPr>
        <w:t>.</w:t>
      </w:r>
    </w:p>
    <w:sectPr w:rsidR="00FB5AB1" w:rsidRPr="000A0E12" w:rsidSect="000A0E12">
      <w:footerReference w:type="default" r:id="rId8"/>
      <w:pgSz w:w="11906" w:h="16838"/>
      <w:pgMar w:top="1417" w:right="1417" w:bottom="1417" w:left="1417" w:header="28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3509D" w14:textId="77777777" w:rsidR="00F8427D" w:rsidRDefault="00F8427D">
      <w:pPr>
        <w:spacing w:after="0" w:line="240" w:lineRule="auto"/>
      </w:pPr>
      <w:r>
        <w:separator/>
      </w:r>
    </w:p>
  </w:endnote>
  <w:endnote w:type="continuationSeparator" w:id="0">
    <w:p w14:paraId="75A9FF71" w14:textId="77777777" w:rsidR="00F8427D" w:rsidRDefault="00F8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761CD" w14:textId="10EB902D" w:rsidR="00097E56" w:rsidRPr="00E36B54" w:rsidRDefault="00097E56">
    <w:pPr>
      <w:pStyle w:val="Pieddepage"/>
      <w:jc w:val="center"/>
      <w:rPr>
        <w:rFonts w:ascii="Marianne" w:hAnsi="Marianne"/>
        <w:caps/>
        <w:sz w:val="18"/>
        <w:szCs w:val="18"/>
      </w:rPr>
    </w:pPr>
    <w:r w:rsidRPr="00E36B54">
      <w:rPr>
        <w:rFonts w:ascii="Marianne" w:hAnsi="Marianne"/>
        <w:caps/>
        <w:sz w:val="18"/>
        <w:szCs w:val="18"/>
      </w:rPr>
      <w:fldChar w:fldCharType="begin"/>
    </w:r>
    <w:r w:rsidRPr="00E36B54">
      <w:rPr>
        <w:rFonts w:ascii="Marianne" w:hAnsi="Marianne"/>
        <w:caps/>
        <w:sz w:val="18"/>
        <w:szCs w:val="18"/>
      </w:rPr>
      <w:instrText>PAGE   \* MERGEFORMAT</w:instrText>
    </w:r>
    <w:r w:rsidRPr="00E36B54">
      <w:rPr>
        <w:rFonts w:ascii="Marianne" w:hAnsi="Marianne"/>
        <w:caps/>
        <w:sz w:val="18"/>
        <w:szCs w:val="18"/>
      </w:rPr>
      <w:fldChar w:fldCharType="separate"/>
    </w:r>
    <w:r w:rsidR="007A54C9">
      <w:rPr>
        <w:rFonts w:ascii="Marianne" w:hAnsi="Marianne"/>
        <w:caps/>
        <w:noProof/>
        <w:sz w:val="18"/>
        <w:szCs w:val="18"/>
      </w:rPr>
      <w:t>1</w:t>
    </w:r>
    <w:r w:rsidRPr="00E36B54">
      <w:rPr>
        <w:rFonts w:ascii="Marianne" w:hAnsi="Marianne"/>
        <w:caps/>
        <w:sz w:val="18"/>
        <w:szCs w:val="18"/>
      </w:rPr>
      <w:fldChar w:fldCharType="end"/>
    </w:r>
  </w:p>
  <w:p w14:paraId="74592D33" w14:textId="77777777" w:rsidR="00097E56" w:rsidRDefault="00097E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3065" w14:textId="77777777" w:rsidR="00F8427D" w:rsidRDefault="00F8427D">
      <w:pPr>
        <w:spacing w:after="0" w:line="240" w:lineRule="auto"/>
      </w:pPr>
      <w:r>
        <w:separator/>
      </w:r>
    </w:p>
  </w:footnote>
  <w:footnote w:type="continuationSeparator" w:id="0">
    <w:p w14:paraId="390EE234" w14:textId="77777777" w:rsidR="00F8427D" w:rsidRDefault="00F8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562"/>
    <w:multiLevelType w:val="hybridMultilevel"/>
    <w:tmpl w:val="477A6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1B2E"/>
    <w:multiLevelType w:val="multilevel"/>
    <w:tmpl w:val="E01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B743E"/>
    <w:multiLevelType w:val="hybridMultilevel"/>
    <w:tmpl w:val="1388AE8A"/>
    <w:lvl w:ilvl="0" w:tplc="12F49F7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5A9"/>
    <w:multiLevelType w:val="multilevel"/>
    <w:tmpl w:val="AF6A03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B7025"/>
    <w:multiLevelType w:val="hybridMultilevel"/>
    <w:tmpl w:val="39328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E3C07"/>
    <w:multiLevelType w:val="hybridMultilevel"/>
    <w:tmpl w:val="8C2AC4EC"/>
    <w:lvl w:ilvl="0" w:tplc="7F6A6434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7DB"/>
    <w:multiLevelType w:val="hybridMultilevel"/>
    <w:tmpl w:val="9E64F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800"/>
    <w:multiLevelType w:val="multilevel"/>
    <w:tmpl w:val="E82A5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7A2DD1"/>
    <w:multiLevelType w:val="hybridMultilevel"/>
    <w:tmpl w:val="C59699D6"/>
    <w:lvl w:ilvl="0" w:tplc="D8305246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E0D4C"/>
    <w:multiLevelType w:val="hybridMultilevel"/>
    <w:tmpl w:val="4D702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0B6"/>
    <w:multiLevelType w:val="hybridMultilevel"/>
    <w:tmpl w:val="8DAA32F6"/>
    <w:lvl w:ilvl="0" w:tplc="63ECDF4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05C8"/>
    <w:multiLevelType w:val="hybridMultilevel"/>
    <w:tmpl w:val="E5660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2302D"/>
    <w:multiLevelType w:val="multilevel"/>
    <w:tmpl w:val="C33A38E6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07350A"/>
    <w:multiLevelType w:val="hybridMultilevel"/>
    <w:tmpl w:val="B624FB88"/>
    <w:lvl w:ilvl="0" w:tplc="1C7AD73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15A29"/>
    <w:multiLevelType w:val="multilevel"/>
    <w:tmpl w:val="41E8BB3E"/>
    <w:lvl w:ilvl="0">
      <w:start w:val="10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6F434F"/>
    <w:multiLevelType w:val="multilevel"/>
    <w:tmpl w:val="D94CE90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decimal"/>
      <w:lvlText w:val="%5-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5"/>
      <w:numFmt w:val="bullet"/>
      <w:lvlText w:val=""/>
      <w:lvlJc w:val="left"/>
      <w:pPr>
        <w:ind w:left="5040" w:hanging="360"/>
      </w:pPr>
      <w:rPr>
        <w:rFonts w:ascii="Wingdings" w:hAnsi="Wingdings" w:cs="Arial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6A13921"/>
    <w:multiLevelType w:val="multilevel"/>
    <w:tmpl w:val="BD980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EA5DE8"/>
    <w:multiLevelType w:val="hybridMultilevel"/>
    <w:tmpl w:val="D5A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D59D6"/>
    <w:multiLevelType w:val="hybridMultilevel"/>
    <w:tmpl w:val="404E5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94A92"/>
    <w:multiLevelType w:val="multilevel"/>
    <w:tmpl w:val="0EA07972"/>
    <w:lvl w:ilvl="0">
      <w:start w:val="2"/>
      <w:numFmt w:val="decimal"/>
      <w:pStyle w:val="Titre2"/>
      <w:lvlText w:val="%1)"/>
      <w:lvlJc w:val="left"/>
      <w:pPr>
        <w:ind w:left="1353" w:hanging="36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B3F65B1"/>
    <w:multiLevelType w:val="hybridMultilevel"/>
    <w:tmpl w:val="0E005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6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9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10"/>
  </w:num>
  <w:num w:numId="16">
    <w:abstractNumId w:val="17"/>
  </w:num>
  <w:num w:numId="17">
    <w:abstractNumId w:val="4"/>
  </w:num>
  <w:num w:numId="18">
    <w:abstractNumId w:val="0"/>
  </w:num>
  <w:num w:numId="19">
    <w:abstractNumId w:val="11"/>
  </w:num>
  <w:num w:numId="20">
    <w:abstractNumId w:val="5"/>
  </w:num>
  <w:num w:numId="21">
    <w:abstractNumId w:val="8"/>
  </w:num>
  <w:num w:numId="22">
    <w:abstractNumId w:val="4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AE"/>
    <w:rsid w:val="00023AB9"/>
    <w:rsid w:val="00033A9F"/>
    <w:rsid w:val="000443C2"/>
    <w:rsid w:val="00047670"/>
    <w:rsid w:val="00050007"/>
    <w:rsid w:val="00056F46"/>
    <w:rsid w:val="00075997"/>
    <w:rsid w:val="00097E56"/>
    <w:rsid w:val="000A0AA5"/>
    <w:rsid w:val="000A0E12"/>
    <w:rsid w:val="000A1F8A"/>
    <w:rsid w:val="000A3911"/>
    <w:rsid w:val="000D436F"/>
    <w:rsid w:val="000D781F"/>
    <w:rsid w:val="000E69C5"/>
    <w:rsid w:val="00102984"/>
    <w:rsid w:val="0010471F"/>
    <w:rsid w:val="00111779"/>
    <w:rsid w:val="00181534"/>
    <w:rsid w:val="00193940"/>
    <w:rsid w:val="001D3CA6"/>
    <w:rsid w:val="001F50FD"/>
    <w:rsid w:val="0021337F"/>
    <w:rsid w:val="00222297"/>
    <w:rsid w:val="00281F53"/>
    <w:rsid w:val="002A2203"/>
    <w:rsid w:val="002A3119"/>
    <w:rsid w:val="002B55EA"/>
    <w:rsid w:val="00300653"/>
    <w:rsid w:val="00307253"/>
    <w:rsid w:val="0031321A"/>
    <w:rsid w:val="00321125"/>
    <w:rsid w:val="003247EB"/>
    <w:rsid w:val="0034344C"/>
    <w:rsid w:val="00345B58"/>
    <w:rsid w:val="00351D2B"/>
    <w:rsid w:val="003633AD"/>
    <w:rsid w:val="003810CE"/>
    <w:rsid w:val="003A4EB0"/>
    <w:rsid w:val="003B3DAC"/>
    <w:rsid w:val="00436BD7"/>
    <w:rsid w:val="00460F12"/>
    <w:rsid w:val="004A6B43"/>
    <w:rsid w:val="004E2F2A"/>
    <w:rsid w:val="004F14CF"/>
    <w:rsid w:val="005269D8"/>
    <w:rsid w:val="00533FCA"/>
    <w:rsid w:val="0053489C"/>
    <w:rsid w:val="00553ABC"/>
    <w:rsid w:val="00560448"/>
    <w:rsid w:val="005714F1"/>
    <w:rsid w:val="00582956"/>
    <w:rsid w:val="005D03DD"/>
    <w:rsid w:val="005F2E54"/>
    <w:rsid w:val="00637C13"/>
    <w:rsid w:val="00641ADE"/>
    <w:rsid w:val="006569A9"/>
    <w:rsid w:val="00660343"/>
    <w:rsid w:val="00672C40"/>
    <w:rsid w:val="006A47BF"/>
    <w:rsid w:val="006A5CE4"/>
    <w:rsid w:val="006B3C77"/>
    <w:rsid w:val="006D35EF"/>
    <w:rsid w:val="006F71C2"/>
    <w:rsid w:val="00711CEF"/>
    <w:rsid w:val="00734EFD"/>
    <w:rsid w:val="00746A80"/>
    <w:rsid w:val="00780EAD"/>
    <w:rsid w:val="00792F78"/>
    <w:rsid w:val="007A54C9"/>
    <w:rsid w:val="007C452D"/>
    <w:rsid w:val="007E5CE5"/>
    <w:rsid w:val="007E7CF3"/>
    <w:rsid w:val="007F3C23"/>
    <w:rsid w:val="008056A2"/>
    <w:rsid w:val="00817EF4"/>
    <w:rsid w:val="00832783"/>
    <w:rsid w:val="00840732"/>
    <w:rsid w:val="008449E1"/>
    <w:rsid w:val="008479DF"/>
    <w:rsid w:val="00860547"/>
    <w:rsid w:val="008D43B7"/>
    <w:rsid w:val="008D7C3D"/>
    <w:rsid w:val="008E2008"/>
    <w:rsid w:val="008E3CB6"/>
    <w:rsid w:val="009062AA"/>
    <w:rsid w:val="00922D0B"/>
    <w:rsid w:val="0093748A"/>
    <w:rsid w:val="00941494"/>
    <w:rsid w:val="00943D6B"/>
    <w:rsid w:val="009609A2"/>
    <w:rsid w:val="0096294A"/>
    <w:rsid w:val="009862DC"/>
    <w:rsid w:val="009F1788"/>
    <w:rsid w:val="00A15AF9"/>
    <w:rsid w:val="00A164B9"/>
    <w:rsid w:val="00A23324"/>
    <w:rsid w:val="00A31D5D"/>
    <w:rsid w:val="00A32849"/>
    <w:rsid w:val="00A6523E"/>
    <w:rsid w:val="00A71B86"/>
    <w:rsid w:val="00A842BB"/>
    <w:rsid w:val="00A9694F"/>
    <w:rsid w:val="00AA239B"/>
    <w:rsid w:val="00AA51CD"/>
    <w:rsid w:val="00AD63EE"/>
    <w:rsid w:val="00AD77D6"/>
    <w:rsid w:val="00AE0C6E"/>
    <w:rsid w:val="00AE4093"/>
    <w:rsid w:val="00B013F2"/>
    <w:rsid w:val="00B27E0C"/>
    <w:rsid w:val="00B6070B"/>
    <w:rsid w:val="00B85CDE"/>
    <w:rsid w:val="00BB5F87"/>
    <w:rsid w:val="00BB5F92"/>
    <w:rsid w:val="00BC19CB"/>
    <w:rsid w:val="00BC7231"/>
    <w:rsid w:val="00BF13B0"/>
    <w:rsid w:val="00C0290D"/>
    <w:rsid w:val="00C060AD"/>
    <w:rsid w:val="00C248E3"/>
    <w:rsid w:val="00C33540"/>
    <w:rsid w:val="00C3747C"/>
    <w:rsid w:val="00C45785"/>
    <w:rsid w:val="00C57C12"/>
    <w:rsid w:val="00CA44F5"/>
    <w:rsid w:val="00CF7B84"/>
    <w:rsid w:val="00D11042"/>
    <w:rsid w:val="00D27B91"/>
    <w:rsid w:val="00D30F47"/>
    <w:rsid w:val="00D35CBC"/>
    <w:rsid w:val="00D717C9"/>
    <w:rsid w:val="00D83EC0"/>
    <w:rsid w:val="00DA01E9"/>
    <w:rsid w:val="00DA14AE"/>
    <w:rsid w:val="00DB30B1"/>
    <w:rsid w:val="00DE7CB3"/>
    <w:rsid w:val="00E10355"/>
    <w:rsid w:val="00E36B54"/>
    <w:rsid w:val="00E664ED"/>
    <w:rsid w:val="00E7467C"/>
    <w:rsid w:val="00E82484"/>
    <w:rsid w:val="00E94557"/>
    <w:rsid w:val="00EA50B7"/>
    <w:rsid w:val="00EB61FA"/>
    <w:rsid w:val="00EC664E"/>
    <w:rsid w:val="00EC7F2C"/>
    <w:rsid w:val="00EF29E7"/>
    <w:rsid w:val="00F351E4"/>
    <w:rsid w:val="00F455CF"/>
    <w:rsid w:val="00F5641D"/>
    <w:rsid w:val="00F672DD"/>
    <w:rsid w:val="00F8427D"/>
    <w:rsid w:val="00F94B95"/>
    <w:rsid w:val="00FA4C3E"/>
    <w:rsid w:val="00FB5AB1"/>
    <w:rsid w:val="00FD45B7"/>
    <w:rsid w:val="00FD6C73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D094"/>
  <w15:docId w15:val="{8708B5CA-1AE3-4E5D-B058-003D3568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5F"/>
    <w:pPr>
      <w:spacing w:after="160" w:line="259" w:lineRule="auto"/>
    </w:pPr>
  </w:style>
  <w:style w:type="paragraph" w:styleId="Titre2">
    <w:name w:val="heading 2"/>
    <w:next w:val="Normal"/>
    <w:link w:val="Titre2Car"/>
    <w:uiPriority w:val="9"/>
    <w:unhideWhenUsed/>
    <w:qFormat/>
    <w:rsid w:val="001872CD"/>
    <w:pPr>
      <w:widowControl w:val="0"/>
      <w:numPr>
        <w:numId w:val="1"/>
      </w:numPr>
      <w:spacing w:line="254" w:lineRule="auto"/>
      <w:jc w:val="both"/>
      <w:outlineLvl w:val="1"/>
    </w:pPr>
    <w:rPr>
      <w:rFonts w:ascii="Arial" w:eastAsia="Times New Roman" w:hAnsi="Arial" w:cs="Arial"/>
      <w:b/>
      <w:bCs/>
      <w:color w:val="0070C0"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D0FE4"/>
  </w:style>
  <w:style w:type="character" w:customStyle="1" w:styleId="PieddepageCar">
    <w:name w:val="Pied de page Car"/>
    <w:basedOn w:val="Policepardfaut"/>
    <w:link w:val="Pieddepage"/>
    <w:uiPriority w:val="99"/>
    <w:qFormat/>
    <w:rsid w:val="00DD0FE4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8610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867C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867C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867C4"/>
    <w:rPr>
      <w:b/>
      <w:bCs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423166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4231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qFormat/>
    <w:rsid w:val="001872CD"/>
    <w:rPr>
      <w:rFonts w:ascii="Arial" w:eastAsia="Times New Roman" w:hAnsi="Arial" w:cs="Arial"/>
      <w:b/>
      <w:bCs/>
      <w:color w:val="0070C0"/>
      <w:sz w:val="28"/>
      <w:szCs w:val="28"/>
      <w:u w:val="single"/>
      <w:lang w:eastAsia="fr-FR"/>
    </w:rPr>
  </w:style>
  <w:style w:type="character" w:customStyle="1" w:styleId="WW8Num1z7">
    <w:name w:val="WW8Num1z7"/>
    <w:qFormat/>
    <w:rsid w:val="00077344"/>
  </w:style>
  <w:style w:type="character" w:styleId="Accentuation">
    <w:name w:val="Emphasis"/>
    <w:basedOn w:val="Policepardfaut"/>
    <w:uiPriority w:val="20"/>
    <w:qFormat/>
    <w:rsid w:val="00DA56F0"/>
    <w:rPr>
      <w:i/>
      <w:iCs/>
    </w:rPr>
  </w:style>
  <w:style w:type="character" w:customStyle="1" w:styleId="markedcontent">
    <w:name w:val="markedcontent"/>
    <w:basedOn w:val="Policepardfaut"/>
    <w:qFormat/>
    <w:rsid w:val="0006544D"/>
  </w:style>
  <w:style w:type="character" w:customStyle="1" w:styleId="CorpsdetexteCar">
    <w:name w:val="Corps de texte Car"/>
    <w:basedOn w:val="Policepardfaut"/>
    <w:link w:val="Corpsdetexte"/>
    <w:qFormat/>
    <w:rsid w:val="00A2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LienInternet">
    <w:name w:val="Lien Internet"/>
    <w:basedOn w:val="Policepardfaut"/>
    <w:uiPriority w:val="99"/>
    <w:semiHidden/>
    <w:unhideWhenUsed/>
    <w:rsid w:val="0099473C"/>
    <w:rPr>
      <w:color w:val="0000FF"/>
      <w:u w:val="single"/>
    </w:rPr>
  </w:style>
  <w:style w:type="character" w:customStyle="1" w:styleId="TextecourantCar">
    <w:name w:val="Texte courant Car"/>
    <w:basedOn w:val="Policepardfaut"/>
    <w:link w:val="Textecourant"/>
    <w:qFormat/>
    <w:rsid w:val="003359A4"/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192474"/>
  </w:style>
  <w:style w:type="character" w:customStyle="1" w:styleId="break-words">
    <w:name w:val="break-words"/>
    <w:basedOn w:val="Policepardfaut"/>
    <w:qFormat/>
    <w:rsid w:val="001C0A57"/>
  </w:style>
  <w:style w:type="character" w:customStyle="1" w:styleId="ListLabel1">
    <w:name w:val="ListLabel 1"/>
    <w:qFormat/>
    <w:rPr>
      <w:rFonts w:ascii="Arial" w:hAnsi="Arial"/>
      <w:sz w:val="28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Calibri" w:cs="Aria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SimSun" w:cs="Marianne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eastAsia="SimSun" w:cs="Marianne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nhideWhenUsed/>
    <w:rsid w:val="00A22D3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0FE4"/>
    <w:pPr>
      <w:spacing w:before="119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qFormat/>
    <w:rsid w:val="00DD0FE4"/>
    <w:pPr>
      <w:spacing w:before="119" w:after="119" w:line="240" w:lineRule="auto"/>
    </w:pPr>
    <w:rPr>
      <w:rFonts w:ascii="Georgia" w:eastAsia="Times New Roman" w:hAnsi="Georgia" w:cs="Times New Roman"/>
      <w:i/>
      <w:iCs/>
      <w:color w:val="000000"/>
      <w:sz w:val="20"/>
      <w:szCs w:val="20"/>
      <w:lang w:eastAsia="fr-FR"/>
    </w:rPr>
  </w:style>
  <w:style w:type="paragraph" w:customStyle="1" w:styleId="western1">
    <w:name w:val="western1"/>
    <w:basedOn w:val="Normal"/>
    <w:qFormat/>
    <w:rsid w:val="00DD0FE4"/>
    <w:pPr>
      <w:spacing w:before="119" w:after="119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DD0FE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D0FE4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B70CF7"/>
    <w:pPr>
      <w:ind w:left="720"/>
      <w:contextualSpacing/>
    </w:pPr>
  </w:style>
  <w:style w:type="paragraph" w:customStyle="1" w:styleId="Standard">
    <w:name w:val="Standard"/>
    <w:uiPriority w:val="99"/>
    <w:qFormat/>
    <w:rsid w:val="00A07F8E"/>
    <w:pPr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07F8E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861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867C4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867C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3166"/>
    <w:pPr>
      <w:spacing w:after="0" w:line="240" w:lineRule="auto"/>
    </w:pPr>
    <w:rPr>
      <w:sz w:val="20"/>
      <w:szCs w:val="20"/>
    </w:rPr>
  </w:style>
  <w:style w:type="paragraph" w:customStyle="1" w:styleId="m-CopieA2">
    <w:name w:val="m-CopieA2"/>
    <w:basedOn w:val="Normal"/>
    <w:qFormat/>
    <w:rsid w:val="00077344"/>
    <w:pPr>
      <w:suppressAutoHyphens/>
      <w:spacing w:after="0" w:line="260" w:lineRule="exact"/>
      <w:ind w:left="820"/>
      <w:textAlignment w:val="baseline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docdata">
    <w:name w:val="docdata"/>
    <w:basedOn w:val="Normal"/>
    <w:qFormat/>
    <w:rsid w:val="00D71F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3359A4"/>
    <w:pPr>
      <w:spacing w:after="0"/>
      <w:jc w:val="both"/>
    </w:pPr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18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3A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23AB9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056F46"/>
    <w:rPr>
      <w:vertAlign w:val="superscript"/>
    </w:rPr>
  </w:style>
  <w:style w:type="paragraph" w:customStyle="1" w:styleId="Puces">
    <w:name w:val="Puces"/>
    <w:basedOn w:val="Textecourant"/>
    <w:link w:val="PucesCar"/>
    <w:qFormat/>
    <w:rsid w:val="00056F46"/>
    <w:pPr>
      <w:numPr>
        <w:numId w:val="24"/>
      </w:numPr>
    </w:pPr>
  </w:style>
  <w:style w:type="character" w:customStyle="1" w:styleId="PucesCar">
    <w:name w:val="Puces Car"/>
    <w:basedOn w:val="TextecourantCar"/>
    <w:link w:val="Puces"/>
    <w:rsid w:val="00056F4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9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A2453AE-13A2-4AC6-86F4-B9D64A8A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PINARD Régine</dc:creator>
  <dc:description/>
  <cp:lastModifiedBy>PINARD Régine</cp:lastModifiedBy>
  <cp:revision>2</cp:revision>
  <cp:lastPrinted>2024-04-23T16:21:00Z</cp:lastPrinted>
  <dcterms:created xsi:type="dcterms:W3CDTF">2024-09-23T14:30:00Z</dcterms:created>
  <dcterms:modified xsi:type="dcterms:W3CDTF">2024-09-23T14:30:00Z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-888972804</vt:i4>
  </property>
</Properties>
</file>